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B11094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11094">
        <w:rPr>
          <w:rFonts w:ascii="Times New Roman" w:hAnsi="Times New Roman"/>
          <w:sz w:val="28"/>
          <w:szCs w:val="28"/>
          <w:lang w:val="en-GB"/>
        </w:rPr>
        <w:t xml:space="preserve">WORKS </w:t>
      </w:r>
      <w:r w:rsidR="00CD2624" w:rsidRPr="00B11094">
        <w:rPr>
          <w:rFonts w:ascii="Times New Roman" w:hAnsi="Times New Roman"/>
          <w:sz w:val="28"/>
          <w:szCs w:val="28"/>
          <w:lang w:val="en-GB"/>
        </w:rPr>
        <w:t>CONTRACT FOR EUROPEAN UNION</w:t>
      </w:r>
      <w:r w:rsidR="004677C7" w:rsidRPr="00B11094">
        <w:rPr>
          <w:rFonts w:ascii="Times New Roman" w:hAnsi="Times New Roman"/>
          <w:sz w:val="28"/>
          <w:szCs w:val="28"/>
          <w:lang w:val="en-GB"/>
        </w:rPr>
        <w:t xml:space="preserve"> EXTERNAL ACTIONS</w:t>
      </w:r>
    </w:p>
    <w:p w:rsidR="004677C7" w:rsidRPr="004677C7" w:rsidRDefault="004677C7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NO</w:t>
      </w:r>
      <w:r w:rsidR="00FB4DFA">
        <w:rPr>
          <w:b/>
          <w:sz w:val="22"/>
          <w:szCs w:val="22"/>
        </w:rPr>
        <w:t>.</w:t>
      </w:r>
      <w:r w:rsidRPr="004677C7">
        <w:rPr>
          <w:b/>
          <w:sz w:val="22"/>
          <w:szCs w:val="22"/>
        </w:rPr>
        <w:t xml:space="preserve"> &lt;</w:t>
      </w:r>
      <w:r w:rsidRPr="00DF10A4">
        <w:rPr>
          <w:b/>
          <w:sz w:val="22"/>
          <w:szCs w:val="22"/>
          <w:highlight w:val="yellow"/>
        </w:rPr>
        <w:t>Contract number</w:t>
      </w:r>
      <w:r w:rsidRPr="004677C7">
        <w:rPr>
          <w:b/>
          <w:sz w:val="22"/>
          <w:szCs w:val="22"/>
        </w:rPr>
        <w:t>&gt;</w:t>
      </w:r>
    </w:p>
    <w:p w:rsidR="00CD2624" w:rsidRPr="00B11094" w:rsidRDefault="004677C7" w:rsidP="00D364B4">
      <w:pPr>
        <w:spacing w:before="480" w:after="480" w:line="240" w:lineRule="exact"/>
        <w:jc w:val="center"/>
        <w:outlineLvl w:val="0"/>
        <w:rPr>
          <w:b/>
          <w:szCs w:val="24"/>
        </w:rPr>
      </w:pPr>
      <w:r w:rsidRPr="00B11094">
        <w:rPr>
          <w:b/>
          <w:szCs w:val="24"/>
        </w:rPr>
        <w:t xml:space="preserve">FINANCED FROM THE </w:t>
      </w:r>
      <w:r w:rsidRPr="0067515D">
        <w:rPr>
          <w:b/>
          <w:szCs w:val="24"/>
        </w:rPr>
        <w:t>GENERAL BUDGET</w:t>
      </w:r>
      <w:r w:rsidR="008A56B5" w:rsidRPr="0067515D">
        <w:rPr>
          <w:b/>
          <w:szCs w:val="24"/>
        </w:rPr>
        <w:t xml:space="preserve"> OF THE UNION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CD2624" w:rsidRPr="0067515D" w:rsidRDefault="0067515D" w:rsidP="0067515D">
      <w:pPr>
        <w:widowControl w:val="0"/>
        <w:snapToGrid w:val="0"/>
        <w:jc w:val="both"/>
        <w:rPr>
          <w:sz w:val="22"/>
          <w:szCs w:val="22"/>
        </w:rPr>
      </w:pPr>
      <w:r w:rsidRPr="0067515D">
        <w:rPr>
          <w:sz w:val="22"/>
          <w:szCs w:val="22"/>
        </w:rPr>
        <w:t>Municipality of Bitola</w:t>
      </w:r>
    </w:p>
    <w:p w:rsidR="0067515D" w:rsidRPr="0067515D" w:rsidRDefault="0067515D" w:rsidP="0067515D">
      <w:pPr>
        <w:widowControl w:val="0"/>
        <w:snapToGrid w:val="0"/>
        <w:jc w:val="both"/>
        <w:rPr>
          <w:sz w:val="22"/>
          <w:szCs w:val="22"/>
        </w:rPr>
      </w:pPr>
      <w:r w:rsidRPr="0067515D">
        <w:rPr>
          <w:sz w:val="22"/>
          <w:szCs w:val="22"/>
        </w:rPr>
        <w:t>Project BAIR</w:t>
      </w:r>
    </w:p>
    <w:p w:rsidR="0067515D" w:rsidRPr="0067515D" w:rsidRDefault="0067515D" w:rsidP="0067515D">
      <w:pPr>
        <w:widowControl w:val="0"/>
        <w:snapToGrid w:val="0"/>
        <w:jc w:val="both"/>
        <w:rPr>
          <w:sz w:val="22"/>
          <w:szCs w:val="22"/>
        </w:rPr>
      </w:pPr>
      <w:r w:rsidRPr="0067515D">
        <w:rPr>
          <w:sz w:val="22"/>
          <w:szCs w:val="22"/>
        </w:rPr>
        <w:t>Blv. “1-vi Maj” 61, 7000 Bitola</w:t>
      </w:r>
    </w:p>
    <w:p w:rsidR="00CD2624" w:rsidRPr="00E725FE" w:rsidRDefault="0067515D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 xml:space="preserve"> </w:t>
      </w:r>
      <w:r w:rsidR="00CD2624"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="00CD2624"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uthority</w:t>
      </w:r>
      <w:r w:rsidR="00FB4DFA">
        <w:rPr>
          <w:sz w:val="22"/>
          <w:szCs w:val="22"/>
        </w:rPr>
        <w:t>”</w:t>
      </w:r>
      <w:r w:rsidR="00CD2624"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 xml:space="preserve">Full official </w:t>
      </w:r>
      <w:r w:rsidR="00E8567A">
        <w:rPr>
          <w:sz w:val="22"/>
          <w:szCs w:val="22"/>
          <w:highlight w:val="yellow"/>
        </w:rPr>
        <w:t>n</w:t>
      </w:r>
      <w:r w:rsidRPr="00DF10A4">
        <w:rPr>
          <w:sz w:val="22"/>
          <w:szCs w:val="22"/>
          <w:highlight w:val="yellow"/>
        </w:rPr>
        <w:t xml:space="preserve">ame of </w:t>
      </w:r>
      <w:r w:rsidR="00E8567A">
        <w:rPr>
          <w:sz w:val="22"/>
          <w:szCs w:val="22"/>
          <w:highlight w:val="yellow"/>
        </w:rPr>
        <w:t>c</w:t>
      </w:r>
      <w:r w:rsidRPr="00DF10A4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DF10A4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3"/>
      </w:r>
      <w:r w:rsidR="008A56B5">
        <w:rPr>
          <w:sz w:val="22"/>
          <w:szCs w:val="22"/>
        </w:rPr>
        <w:t>,</w:t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FB4DFA">
        <w:rPr>
          <w:sz w:val="22"/>
          <w:szCs w:val="22"/>
        </w:rPr>
        <w:t>”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="0067515D" w:rsidRPr="0067515D">
        <w:rPr>
          <w:sz w:val="22"/>
          <w:szCs w:val="22"/>
        </w:rPr>
        <w:t>: BAIR</w:t>
      </w:r>
      <w:r w:rsidR="0067515D">
        <w:rPr>
          <w:sz w:val="22"/>
          <w:szCs w:val="22"/>
        </w:rPr>
        <w:t xml:space="preserve"> – Bitola’s joint Action for the Integration of Roma, No. 2020/420-361</w:t>
      </w:r>
      <w:r w:rsidR="005648FF" w:rsidRPr="00E725FE">
        <w:rPr>
          <w:sz w:val="22"/>
          <w:szCs w:val="22"/>
        </w:rPr>
        <w:t xml:space="preserve"> </w:t>
      </w:r>
    </w:p>
    <w:p w:rsidR="004677C7" w:rsidRDefault="0067515D" w:rsidP="009D1893">
      <w:pPr>
        <w:spacing w:before="24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CONTRACT TITLE: </w:t>
      </w:r>
      <w:r w:rsidRPr="0067515D">
        <w:rPr>
          <w:sz w:val="22"/>
          <w:szCs w:val="22"/>
        </w:rPr>
        <w:t>“RECONSTRUCTION OF ROADWAY AND SEWERAGE OF THE STREETS SUTJESKA AND STRUSHKA”</w:t>
      </w: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15144C">
        <w:rPr>
          <w:b/>
          <w:sz w:val="22"/>
          <w:szCs w:val="22"/>
        </w:rPr>
        <w:t>08-736/1</w:t>
      </w:r>
      <w:bookmarkStart w:id="4" w:name="_GoBack"/>
      <w:bookmarkEnd w:id="4"/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E8567A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:rsidR="00CD2624" w:rsidRPr="00E725FE" w:rsidRDefault="0067515D" w:rsidP="0067515D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Roadway and sewerage system of the streets Sutjeska and Strushka in the Bair neighbourhood in Bitola Municipality </w:t>
      </w:r>
      <w:r w:rsidR="00CD2624" w:rsidRPr="00E725FE">
        <w:rPr>
          <w:sz w:val="22"/>
          <w:szCs w:val="22"/>
        </w:rPr>
        <w:t xml:space="preserve">and has accepted a tender by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946350" w:rsidRPr="008E5B31" w:rsidRDefault="00946350" w:rsidP="008E5B31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67515D">
        <w:rPr>
          <w:sz w:val="22"/>
          <w:szCs w:val="22"/>
        </w:rPr>
        <w:t>the breakdown of lump-sum price</w:t>
      </w:r>
      <w:r w:rsidRPr="008E5B31"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t</w:t>
      </w:r>
      <w:r w:rsidRPr="00AF48C5">
        <w:rPr>
          <w:sz w:val="22"/>
          <w:szCs w:val="22"/>
        </w:rPr>
        <w:t xml:space="preserve">echnical </w:t>
      </w:r>
      <w:r w:rsidR="00900E37" w:rsidRPr="00AF48C5">
        <w:t xml:space="preserve">and/or </w:t>
      </w:r>
      <w:r w:rsidR="00E8567A">
        <w:t>p</w:t>
      </w:r>
      <w:r w:rsidR="00900E37" w:rsidRPr="00AF48C5">
        <w:t xml:space="preserve">erformance </w:t>
      </w:r>
      <w:r w:rsidR="00E8567A">
        <w:rPr>
          <w:sz w:val="22"/>
          <w:szCs w:val="22"/>
        </w:rPr>
        <w:t>s</w:t>
      </w:r>
      <w:r w:rsidRPr="00AF48C5">
        <w:rPr>
          <w:sz w:val="22"/>
          <w:szCs w:val="22"/>
        </w:rPr>
        <w:t>pecifications</w:t>
      </w:r>
      <w:r w:rsidRPr="00E725FE"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esign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>ocumentation (drawings),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the tender,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67515D" w:rsidRDefault="00CD2624" w:rsidP="0067515D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VAT)</w:t>
      </w:r>
      <w:r w:rsidR="007F26B5">
        <w:rPr>
          <w:sz w:val="22"/>
          <w:szCs w:val="22"/>
        </w:rPr>
        <w:t xml:space="preserve"> </w:t>
      </w:r>
      <w:r w:rsidR="00D0622A" w:rsidRPr="0067515D">
        <w:rPr>
          <w:sz w:val="22"/>
          <w:szCs w:val="22"/>
        </w:rPr>
        <w:t>EUR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:rsidR="00CD2624" w:rsidRPr="00E725FE" w:rsidRDefault="00F062A3" w:rsidP="00DF10A4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D0622A" w:rsidRPr="0067515D">
        <w:rPr>
          <w:sz w:val="22"/>
          <w:szCs w:val="22"/>
        </w:rPr>
        <w:t>EUR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:rsidR="00CD2624" w:rsidRPr="00E725FE" w:rsidRDefault="00CD2624" w:rsidP="00F062A3">
      <w:pPr>
        <w:spacing w:after="240"/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0C6752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365E3C" w:rsidRPr="00E539C1" w:rsidRDefault="00365E3C" w:rsidP="00365E3C">
      <w:pPr>
        <w:spacing w:before="120"/>
        <w:ind w:left="-120"/>
        <w:jc w:val="both"/>
        <w:rPr>
          <w:sz w:val="22"/>
          <w:szCs w:val="22"/>
          <w:highlight w:val="lightGray"/>
        </w:rPr>
      </w:pPr>
      <w:r w:rsidRPr="0067515D">
        <w:rPr>
          <w:rStyle w:val="Hyperlink"/>
          <w:color w:val="auto"/>
          <w:sz w:val="22"/>
          <w:szCs w:val="22"/>
          <w:u w:val="none"/>
        </w:rPr>
        <w:t xml:space="preserve">For the purpose of </w:t>
      </w:r>
      <w:r w:rsidRPr="00A47967">
        <w:rPr>
          <w:sz w:val="22"/>
          <w:szCs w:val="22"/>
          <w:lang w:eastAsia="en-GB"/>
        </w:rPr>
        <w:t xml:space="preserve">Article 72 of the </w:t>
      </w:r>
      <w:r w:rsidRPr="0067515D">
        <w:rPr>
          <w:sz w:val="22"/>
          <w:szCs w:val="22"/>
        </w:rPr>
        <w:t>general conditions, for the part of the data transferred by the contracting authority to the European Commission</w:t>
      </w:r>
      <w:r w:rsidRPr="00E539C1">
        <w:rPr>
          <w:sz w:val="22"/>
          <w:szCs w:val="22"/>
          <w:highlight w:val="lightGray"/>
        </w:rPr>
        <w:t>:</w:t>
      </w:r>
    </w:p>
    <w:p w:rsidR="00365E3C" w:rsidRPr="00A47967" w:rsidRDefault="0067515D" w:rsidP="0067515D">
      <w:pPr>
        <w:spacing w:before="100" w:beforeAutospacing="1" w:after="100" w:afterAutospacing="1"/>
        <w:rPr>
          <w:color w:val="0563C1"/>
          <w:sz w:val="22"/>
          <w:szCs w:val="22"/>
          <w:u w:val="single"/>
        </w:rPr>
      </w:pPr>
      <w:r>
        <w:rPr>
          <w:sz w:val="22"/>
          <w:szCs w:val="22"/>
        </w:rPr>
        <w:t>(a</w:t>
      </w:r>
      <w:r w:rsidR="00365E3C" w:rsidRPr="00A47967">
        <w:rPr>
          <w:sz w:val="22"/>
          <w:szCs w:val="22"/>
        </w:rPr>
        <w:t xml:space="preserve">) </w:t>
      </w:r>
      <w:r w:rsidR="00365E3C" w:rsidRPr="00A47967">
        <w:rPr>
          <w:sz w:val="22"/>
          <w:szCs w:val="22"/>
          <w:lang w:eastAsia="en-GB"/>
        </w:rPr>
        <w:t>the data protection notice is available at</w:t>
      </w:r>
      <w:r>
        <w:rPr>
          <w:sz w:val="22"/>
          <w:szCs w:val="22"/>
        </w:rPr>
        <w:t xml:space="preserve">: </w:t>
      </w:r>
      <w:hyperlink r:id="rId8" w:history="1">
        <w:r w:rsidR="00365E3C" w:rsidRPr="00A47967">
          <w:rPr>
            <w:rStyle w:val="Hyperlink"/>
            <w:sz w:val="22"/>
            <w:szCs w:val="22"/>
          </w:rPr>
          <w:t>http://ec.europa.eu/europeaid/prag/annexes.do?chapterTitleCode=A</w:t>
        </w:r>
      </w:hyperlink>
      <w:r w:rsidR="00365E3C" w:rsidRPr="00A47967">
        <w:rPr>
          <w:rStyle w:val="Hyperlink"/>
          <w:sz w:val="22"/>
          <w:szCs w:val="22"/>
        </w:rPr>
        <w:t xml:space="preserve">. </w:t>
      </w:r>
    </w:p>
    <w:p w:rsidR="002E200A" w:rsidRPr="00365E3C" w:rsidRDefault="002E200A" w:rsidP="00F062A3">
      <w:pPr>
        <w:spacing w:after="240"/>
        <w:jc w:val="both"/>
        <w:rPr>
          <w:sz w:val="22"/>
          <w:szCs w:val="22"/>
        </w:rPr>
      </w:pPr>
      <w:r w:rsidRPr="00365E3C">
        <w:rPr>
          <w:sz w:val="22"/>
          <w:szCs w:val="22"/>
        </w:rPr>
        <w:t xml:space="preserve">In witness whereof the parties hereto have signed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 xml:space="preserve">ontract. This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 shall take effect on the date</w:t>
      </w:r>
      <w:r w:rsidR="00F062A3" w:rsidRPr="00365E3C">
        <w:rPr>
          <w:sz w:val="22"/>
          <w:szCs w:val="22"/>
        </w:rPr>
        <w:t xml:space="preserve"> </w:t>
      </w:r>
      <w:r w:rsidRPr="00365E3C">
        <w:rPr>
          <w:sz w:val="22"/>
          <w:szCs w:val="22"/>
        </w:rPr>
        <w:t xml:space="preserve">on which it is signed by the last party, namely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ontractor.</w:t>
      </w:r>
    </w:p>
    <w:p w:rsidR="00CD2624" w:rsidRPr="00365E3C" w:rsidRDefault="00CD2624" w:rsidP="00F062A3">
      <w:pPr>
        <w:jc w:val="both"/>
        <w:rPr>
          <w:sz w:val="22"/>
          <w:szCs w:val="22"/>
        </w:rPr>
      </w:pPr>
      <w:r w:rsidRPr="00365E3C">
        <w:rPr>
          <w:sz w:val="22"/>
          <w:szCs w:val="22"/>
        </w:rPr>
        <w:t xml:space="preserve">Done in English in </w:t>
      </w:r>
      <w:r w:rsidR="00DB571C" w:rsidRPr="003739A8">
        <w:rPr>
          <w:sz w:val="22"/>
          <w:szCs w:val="22"/>
        </w:rPr>
        <w:t>two</w:t>
      </w:r>
      <w:r w:rsidRPr="00365E3C">
        <w:rPr>
          <w:sz w:val="22"/>
          <w:szCs w:val="22"/>
        </w:rPr>
        <w:t xml:space="preserve"> originals, </w:t>
      </w:r>
      <w:r w:rsidRPr="003739A8">
        <w:rPr>
          <w:sz w:val="22"/>
          <w:szCs w:val="22"/>
        </w:rPr>
        <w:t xml:space="preserve">one original for the </w:t>
      </w:r>
      <w:r w:rsidR="00E8567A" w:rsidRPr="003739A8">
        <w:rPr>
          <w:sz w:val="22"/>
          <w:szCs w:val="22"/>
        </w:rPr>
        <w:t>c</w:t>
      </w:r>
      <w:r w:rsidRPr="003739A8">
        <w:rPr>
          <w:sz w:val="22"/>
          <w:szCs w:val="22"/>
        </w:rPr>
        <w:t xml:space="preserve">ontracting </w:t>
      </w:r>
      <w:r w:rsidR="00E8567A" w:rsidRPr="003739A8">
        <w:rPr>
          <w:sz w:val="22"/>
          <w:szCs w:val="22"/>
        </w:rPr>
        <w:t>a</w:t>
      </w:r>
      <w:r w:rsidRPr="003739A8">
        <w:rPr>
          <w:sz w:val="22"/>
          <w:szCs w:val="22"/>
        </w:rPr>
        <w:t>uthority</w:t>
      </w:r>
      <w:r w:rsidRPr="00365E3C">
        <w:rPr>
          <w:sz w:val="22"/>
          <w:szCs w:val="22"/>
        </w:rPr>
        <w:t xml:space="preserve"> and one original for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ontractor.</w:t>
      </w:r>
    </w:p>
    <w:p w:rsidR="00CD2624" w:rsidRPr="00365E3C" w:rsidRDefault="00CD2624" w:rsidP="003308BB">
      <w:pPr>
        <w:keepNext/>
        <w:ind w:left="567" w:hanging="567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365E3C" w:rsidTr="003739A8">
        <w:trPr>
          <w:trHeight w:val="520"/>
        </w:trPr>
        <w:tc>
          <w:tcPr>
            <w:tcW w:w="4253" w:type="dxa"/>
            <w:gridSpan w:val="2"/>
          </w:tcPr>
          <w:p w:rsidR="00CD2624" w:rsidRPr="00365E3C" w:rsidRDefault="00CD2624" w:rsidP="003739A8">
            <w:pPr>
              <w:pStyle w:val="BodyText"/>
              <w:keepNext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:rsidR="00CD2624" w:rsidRPr="00365E3C" w:rsidRDefault="00CD2624" w:rsidP="003739A8">
            <w:pPr>
              <w:pStyle w:val="BodyText"/>
              <w:keepNext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365E3C" w:rsidTr="003739A8">
        <w:trPr>
          <w:cantSplit/>
          <w:trHeight w:val="555"/>
        </w:trPr>
        <w:tc>
          <w:tcPr>
            <w:tcW w:w="1134" w:type="dxa"/>
          </w:tcPr>
          <w:p w:rsidR="00CD2624" w:rsidRPr="00365E3C" w:rsidRDefault="00CD2624" w:rsidP="003739A8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CD2624" w:rsidRPr="00365E3C" w:rsidRDefault="00CD2624" w:rsidP="003739A8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3739A8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:rsidR="00CD2624" w:rsidRPr="00365E3C" w:rsidRDefault="00CD2624" w:rsidP="003739A8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 w:rsidTr="003739A8">
        <w:trPr>
          <w:cantSplit/>
          <w:trHeight w:val="577"/>
        </w:trPr>
        <w:tc>
          <w:tcPr>
            <w:tcW w:w="1134" w:type="dxa"/>
          </w:tcPr>
          <w:p w:rsidR="00CD2624" w:rsidRPr="00365E3C" w:rsidRDefault="00CD2624" w:rsidP="003739A8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CD2624" w:rsidRPr="00365E3C" w:rsidRDefault="00CD2624" w:rsidP="003739A8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3739A8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:rsidR="00CD2624" w:rsidRPr="00365E3C" w:rsidRDefault="00CD2624" w:rsidP="003739A8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 w:rsidTr="003739A8">
        <w:trPr>
          <w:cantSplit/>
          <w:trHeight w:val="537"/>
        </w:trPr>
        <w:tc>
          <w:tcPr>
            <w:tcW w:w="1134" w:type="dxa"/>
          </w:tcPr>
          <w:p w:rsidR="00CD2624" w:rsidRPr="00365E3C" w:rsidRDefault="00CD2624" w:rsidP="003739A8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365E3C" w:rsidRDefault="00CD2624" w:rsidP="003739A8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3739A8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:rsidR="00CD2624" w:rsidRPr="00365E3C" w:rsidRDefault="00CD2624" w:rsidP="003739A8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 w:rsidTr="003739A8">
        <w:trPr>
          <w:cantSplit/>
          <w:trHeight w:val="428"/>
        </w:trPr>
        <w:tc>
          <w:tcPr>
            <w:tcW w:w="1134" w:type="dxa"/>
          </w:tcPr>
          <w:p w:rsidR="00CD2624" w:rsidRPr="00365E3C" w:rsidRDefault="00CD2624" w:rsidP="003739A8">
            <w:pPr>
              <w:pStyle w:val="BodyText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365E3C" w:rsidRDefault="00CD2624" w:rsidP="003739A8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3739A8">
            <w:pPr>
              <w:pStyle w:val="BodyText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:rsidR="00CD2624" w:rsidRPr="00365E3C" w:rsidRDefault="00CD2624" w:rsidP="003739A8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3739A8">
      <w:pPr>
        <w:rPr>
          <w:sz w:val="22"/>
          <w:szCs w:val="22"/>
        </w:rPr>
      </w:pPr>
    </w:p>
    <w:sectPr w:rsidR="00AE38F8" w:rsidRPr="00063B37" w:rsidSect="00B110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9C1" w:rsidRPr="00E725FE" w:rsidRDefault="00E539C1">
      <w:r w:rsidRPr="00E725FE">
        <w:separator/>
      </w:r>
    </w:p>
  </w:endnote>
  <w:endnote w:type="continuationSeparator" w:id="0">
    <w:p w:rsidR="00E539C1" w:rsidRPr="00E725FE" w:rsidRDefault="00E539C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930572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15144C">
      <w:rPr>
        <w:rStyle w:val="PageNumber"/>
        <w:noProof/>
        <w:sz w:val="18"/>
        <w:szCs w:val="18"/>
      </w:rPr>
      <w:t>2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15144C">
      <w:rPr>
        <w:rStyle w:val="PageNumber"/>
        <w:noProof/>
        <w:sz w:val="18"/>
        <w:szCs w:val="18"/>
      </w:rPr>
      <w:t>2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1F1E3C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 </w:t>
    </w:r>
    <w:r w:rsidR="00EC3EBD">
      <w:rPr>
        <w:b/>
        <w:sz w:val="18"/>
        <w:szCs w:val="18"/>
      </w:rPr>
      <w:t>December</w:t>
    </w:r>
    <w:r>
      <w:rPr>
        <w:b/>
        <w:sz w:val="18"/>
        <w:szCs w:val="18"/>
      </w:rPr>
      <w:t xml:space="preserve">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9C1" w:rsidRPr="00E725FE" w:rsidRDefault="00E539C1">
      <w:r w:rsidRPr="00E725FE">
        <w:separator/>
      </w:r>
    </w:p>
  </w:footnote>
  <w:footnote w:type="continuationSeparator" w:id="0">
    <w:p w:rsidR="00E539C1" w:rsidRPr="00E725FE" w:rsidRDefault="00E539C1">
      <w:r w:rsidRPr="00E725FE">
        <w:continuationSeparator/>
      </w:r>
    </w:p>
  </w:footnote>
  <w:footnote w:id="1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the contracting party is an individual.</w:t>
      </w:r>
    </w:p>
  </w:footnote>
  <w:footnote w:id="2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applicable. </w:t>
      </w:r>
    </w:p>
  </w:footnote>
  <w:footnote w:id="3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1C3" w:rsidRDefault="00E051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F062A3" w:rsidRDefault="00633B76" w:rsidP="00F062A3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No.</w:t>
    </w:r>
    <w:r w:rsidR="00F062A3" w:rsidRPr="00F062A3">
      <w:rPr>
        <w:rFonts w:ascii="Times New Roman" w:hAnsi="Times New Roman"/>
        <w:sz w:val="22"/>
        <w:szCs w:val="22"/>
      </w:rPr>
      <w:t xml:space="preserve"> &lt;Contract number&gt;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167855CA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61AC50B4"/>
    <w:multiLevelType w:val="hybridMultilevel"/>
    <w:tmpl w:val="7E1C648E"/>
    <w:lvl w:ilvl="0" w:tplc="325EC6A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334D4C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297E50B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676F28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9BEBF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E8C12B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7D0081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AD0D0D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1047AE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031F05"/>
    <w:multiLevelType w:val="hybridMultilevel"/>
    <w:tmpl w:val="1CE28068"/>
    <w:lvl w:ilvl="0" w:tplc="0BB45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F1C3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9861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003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A1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5CA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D41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CA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A6A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 w15:restartNumberingAfterBreak="0">
    <w:nsid w:val="6FA1531B"/>
    <w:multiLevelType w:val="hybridMultilevel"/>
    <w:tmpl w:val="FC001C60"/>
    <w:lvl w:ilvl="0" w:tplc="9FFAAC0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E1A6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AA85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4C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2D2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2A1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60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E69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 w15:restartNumberingAfterBreak="0">
    <w:nsid w:val="71E405D9"/>
    <w:multiLevelType w:val="hybridMultilevel"/>
    <w:tmpl w:val="21EA856C"/>
    <w:lvl w:ilvl="0" w:tplc="968E3B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01E89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B26587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4987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03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3C4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B23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2B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E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 w:tplc="18F85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7CA9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7A79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64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0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8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E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52E2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25C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 w:tplc="CB00331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2C0F0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8E46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8AC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63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24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2A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01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64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 w:tplc="D59AFE1C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4600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5A5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4E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BCB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44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70D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9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25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1D7248"/>
    <w:multiLevelType w:val="hybridMultilevel"/>
    <w:tmpl w:val="0E6478CA"/>
    <w:lvl w:ilvl="0" w:tplc="5E8C88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CE82949"/>
    <w:multiLevelType w:val="hybridMultilevel"/>
    <w:tmpl w:val="9FDC57E0"/>
    <w:lvl w:ilvl="0" w:tplc="B3C62A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9AE3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740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27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768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A06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F80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854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804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7"/>
  </w:num>
  <w:num w:numId="4">
    <w:abstractNumId w:val="7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9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8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 w:numId="113">
    <w:abstractNumId w:val="76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1FC2"/>
    <w:rsid w:val="000C549B"/>
    <w:rsid w:val="000C6752"/>
    <w:rsid w:val="000C7952"/>
    <w:rsid w:val="000D13E7"/>
    <w:rsid w:val="000D7C74"/>
    <w:rsid w:val="000E0648"/>
    <w:rsid w:val="000E17D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5144C"/>
    <w:rsid w:val="0017313B"/>
    <w:rsid w:val="00173310"/>
    <w:rsid w:val="0019485B"/>
    <w:rsid w:val="00196F72"/>
    <w:rsid w:val="001978EF"/>
    <w:rsid w:val="001A3033"/>
    <w:rsid w:val="001A4E4A"/>
    <w:rsid w:val="001B31E6"/>
    <w:rsid w:val="001C1D2A"/>
    <w:rsid w:val="001E3673"/>
    <w:rsid w:val="001E440F"/>
    <w:rsid w:val="001F1E3C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4671"/>
    <w:rsid w:val="00295092"/>
    <w:rsid w:val="002B13F4"/>
    <w:rsid w:val="002D0A12"/>
    <w:rsid w:val="002D0B03"/>
    <w:rsid w:val="002D294D"/>
    <w:rsid w:val="002D75A2"/>
    <w:rsid w:val="002E200A"/>
    <w:rsid w:val="002F6D2E"/>
    <w:rsid w:val="00301DE9"/>
    <w:rsid w:val="00305CB1"/>
    <w:rsid w:val="003111D9"/>
    <w:rsid w:val="00311D2D"/>
    <w:rsid w:val="003308BB"/>
    <w:rsid w:val="0033332D"/>
    <w:rsid w:val="0034034D"/>
    <w:rsid w:val="00346E32"/>
    <w:rsid w:val="003521FE"/>
    <w:rsid w:val="00356B1D"/>
    <w:rsid w:val="00362638"/>
    <w:rsid w:val="00363B97"/>
    <w:rsid w:val="00365E3C"/>
    <w:rsid w:val="003721D9"/>
    <w:rsid w:val="003739A8"/>
    <w:rsid w:val="00382FE0"/>
    <w:rsid w:val="00392541"/>
    <w:rsid w:val="003A187B"/>
    <w:rsid w:val="003A2536"/>
    <w:rsid w:val="003A358D"/>
    <w:rsid w:val="003B522A"/>
    <w:rsid w:val="003C06D1"/>
    <w:rsid w:val="003C07AB"/>
    <w:rsid w:val="003C112D"/>
    <w:rsid w:val="003C1679"/>
    <w:rsid w:val="003C2000"/>
    <w:rsid w:val="003C31D2"/>
    <w:rsid w:val="003C60D0"/>
    <w:rsid w:val="003D1269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22DB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B33AB"/>
    <w:rsid w:val="004C192E"/>
    <w:rsid w:val="004C6423"/>
    <w:rsid w:val="004D5CD3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383A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3B76"/>
    <w:rsid w:val="00636B1D"/>
    <w:rsid w:val="00641155"/>
    <w:rsid w:val="0065276A"/>
    <w:rsid w:val="006610EB"/>
    <w:rsid w:val="00664730"/>
    <w:rsid w:val="00670009"/>
    <w:rsid w:val="00674750"/>
    <w:rsid w:val="0067515D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03A36"/>
    <w:rsid w:val="007172B0"/>
    <w:rsid w:val="007300FC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87815"/>
    <w:rsid w:val="007A1074"/>
    <w:rsid w:val="007A1685"/>
    <w:rsid w:val="007A5020"/>
    <w:rsid w:val="007B00C5"/>
    <w:rsid w:val="007B1996"/>
    <w:rsid w:val="007B20BF"/>
    <w:rsid w:val="007C1642"/>
    <w:rsid w:val="007C3618"/>
    <w:rsid w:val="007D5114"/>
    <w:rsid w:val="007D6359"/>
    <w:rsid w:val="007D6CD0"/>
    <w:rsid w:val="007D732B"/>
    <w:rsid w:val="007E33CF"/>
    <w:rsid w:val="007E34D8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45536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A56B5"/>
    <w:rsid w:val="008B2A73"/>
    <w:rsid w:val="008B623E"/>
    <w:rsid w:val="008B7FF3"/>
    <w:rsid w:val="008C3721"/>
    <w:rsid w:val="008E128B"/>
    <w:rsid w:val="008E4B88"/>
    <w:rsid w:val="008E5B31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30572"/>
    <w:rsid w:val="00940313"/>
    <w:rsid w:val="009455FD"/>
    <w:rsid w:val="00946350"/>
    <w:rsid w:val="0094728C"/>
    <w:rsid w:val="009639E9"/>
    <w:rsid w:val="00966028"/>
    <w:rsid w:val="009706F3"/>
    <w:rsid w:val="00974535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47967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D5B1C"/>
    <w:rsid w:val="00AE38F8"/>
    <w:rsid w:val="00AE4BF8"/>
    <w:rsid w:val="00AF0195"/>
    <w:rsid w:val="00AF48C5"/>
    <w:rsid w:val="00B078C7"/>
    <w:rsid w:val="00B11094"/>
    <w:rsid w:val="00B110FD"/>
    <w:rsid w:val="00B11FAE"/>
    <w:rsid w:val="00B150F8"/>
    <w:rsid w:val="00B279FB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0D26"/>
    <w:rsid w:val="00CF24DE"/>
    <w:rsid w:val="00CF3F1F"/>
    <w:rsid w:val="00CF7557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8013B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E0B72"/>
    <w:rsid w:val="00DE11D4"/>
    <w:rsid w:val="00DF10A4"/>
    <w:rsid w:val="00DF3894"/>
    <w:rsid w:val="00DF4416"/>
    <w:rsid w:val="00DF48F8"/>
    <w:rsid w:val="00DF5742"/>
    <w:rsid w:val="00E01657"/>
    <w:rsid w:val="00E051C3"/>
    <w:rsid w:val="00E06F05"/>
    <w:rsid w:val="00E12E18"/>
    <w:rsid w:val="00E142EC"/>
    <w:rsid w:val="00E246FA"/>
    <w:rsid w:val="00E24C7B"/>
    <w:rsid w:val="00E40327"/>
    <w:rsid w:val="00E50E5B"/>
    <w:rsid w:val="00E539C1"/>
    <w:rsid w:val="00E54183"/>
    <w:rsid w:val="00E61684"/>
    <w:rsid w:val="00E725FE"/>
    <w:rsid w:val="00E72F15"/>
    <w:rsid w:val="00E75A03"/>
    <w:rsid w:val="00E76613"/>
    <w:rsid w:val="00E76CEA"/>
    <w:rsid w:val="00E8567A"/>
    <w:rsid w:val="00E95D40"/>
    <w:rsid w:val="00EB5D04"/>
    <w:rsid w:val="00EC0A31"/>
    <w:rsid w:val="00EC2BBE"/>
    <w:rsid w:val="00EC3EB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54C76"/>
    <w:rsid w:val="00F70558"/>
    <w:rsid w:val="00F81477"/>
    <w:rsid w:val="00F8386F"/>
    <w:rsid w:val="00F85039"/>
    <w:rsid w:val="00F8572E"/>
    <w:rsid w:val="00F866AA"/>
    <w:rsid w:val="00F9163A"/>
    <w:rsid w:val="00F96B09"/>
    <w:rsid w:val="00FA09A8"/>
    <w:rsid w:val="00FA10D2"/>
    <w:rsid w:val="00FA3557"/>
    <w:rsid w:val="00FB1539"/>
    <w:rsid w:val="00FB4DFA"/>
    <w:rsid w:val="00FE0AAA"/>
    <w:rsid w:val="00FF1275"/>
    <w:rsid w:val="00FF1C64"/>
    <w:rsid w:val="00FF34CD"/>
    <w:rsid w:val="00FF462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875C1D"/>
  <w15:chartTrackingRefBased/>
  <w15:docId w15:val="{234C4BE9-E34B-4BC9-93CF-D20F32C1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6B5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56B5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ListParagraph">
    <w:name w:val="List Paragraph"/>
    <w:basedOn w:val="Normal"/>
    <w:uiPriority w:val="34"/>
    <w:qFormat/>
    <w:rsid w:val="00365E3C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367183A-284E-4678-8F56-96B6426B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Goce Bogoevski</cp:lastModifiedBy>
  <cp:revision>11</cp:revision>
  <cp:lastPrinted>2015-01-23T10:55:00Z</cp:lastPrinted>
  <dcterms:created xsi:type="dcterms:W3CDTF">2018-12-18T11:55:00Z</dcterms:created>
  <dcterms:modified xsi:type="dcterms:W3CDTF">2021-08-19T07:44:00Z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